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pPr w:leftFromText="142" w:rightFromText="142" w:vertAnchor="page" w:horzAnchor="margin" w:tblpY="2671"/>
        <w:tblW w:w="12753" w:type="dxa"/>
        <w:tblLook w:val="04A0" w:firstRow="1" w:lastRow="0" w:firstColumn="1" w:lastColumn="0" w:noHBand="0" w:noVBand="1"/>
      </w:tblPr>
      <w:tblGrid>
        <w:gridCol w:w="2126"/>
        <w:gridCol w:w="3398"/>
        <w:gridCol w:w="1275"/>
        <w:gridCol w:w="851"/>
        <w:gridCol w:w="850"/>
        <w:gridCol w:w="851"/>
        <w:gridCol w:w="850"/>
        <w:gridCol w:w="851"/>
        <w:gridCol w:w="850"/>
        <w:gridCol w:w="851"/>
      </w:tblGrid>
      <w:tr w:rsidR="00325A2C" w:rsidRPr="00BC3CCF" w:rsidTr="00BF083E">
        <w:trPr>
          <w:trHeight w:val="260"/>
        </w:trPr>
        <w:tc>
          <w:tcPr>
            <w:tcW w:w="5524" w:type="dxa"/>
            <w:gridSpan w:val="2"/>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対象・要件等</w:t>
            </w:r>
          </w:p>
        </w:tc>
        <w:tc>
          <w:tcPr>
            <w:tcW w:w="1275"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用途別</w:t>
            </w:r>
          </w:p>
        </w:tc>
        <w:tc>
          <w:tcPr>
            <w:tcW w:w="5954" w:type="dxa"/>
            <w:gridSpan w:val="7"/>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特別措置の内容</w:t>
            </w:r>
          </w:p>
        </w:tc>
      </w:tr>
      <w:tr w:rsidR="00325A2C" w:rsidRPr="00BC3CCF" w:rsidTr="00BF083E">
        <w:trPr>
          <w:trHeight w:val="1005"/>
        </w:trPr>
        <w:tc>
          <w:tcPr>
            <w:tcW w:w="5524" w:type="dxa"/>
            <w:gridSpan w:val="2"/>
          </w:tcPr>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hint="eastAsia"/>
                <w:sz w:val="20"/>
                <w:szCs w:val="18"/>
              </w:rPr>
              <w:t>・電気自動車</w:t>
            </w:r>
          </w:p>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hint="eastAsia"/>
                <w:sz w:val="20"/>
                <w:szCs w:val="18"/>
              </w:rPr>
              <w:t>・燃料電池自動車</w:t>
            </w:r>
          </w:p>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hint="eastAsia"/>
                <w:sz w:val="20"/>
                <w:szCs w:val="18"/>
              </w:rPr>
              <w:t>・天然ガス自動車</w:t>
            </w:r>
          </w:p>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hint="eastAsia"/>
                <w:sz w:val="20"/>
                <w:szCs w:val="18"/>
              </w:rPr>
              <w:t>（平成21年排出ガス規制N</w:t>
            </w:r>
            <w:r w:rsidRPr="00BC3CCF">
              <w:rPr>
                <w:rFonts w:ascii="ＭＳ 明朝" w:eastAsia="ＭＳ 明朝"/>
                <w:sz w:val="20"/>
                <w:szCs w:val="18"/>
              </w:rPr>
              <w:t>Ox10%</w:t>
            </w:r>
            <w:r w:rsidRPr="00BC3CCF">
              <w:rPr>
                <w:rFonts w:ascii="ＭＳ 明朝" w:eastAsia="ＭＳ 明朝" w:hint="eastAsia"/>
                <w:sz w:val="20"/>
                <w:szCs w:val="18"/>
              </w:rPr>
              <w:t>以上低減又は平成30年排出ガス規制適合</w:t>
            </w:r>
          </w:p>
        </w:tc>
        <w:tc>
          <w:tcPr>
            <w:tcW w:w="1275"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自家用</w:t>
            </w:r>
          </w:p>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及び</w:t>
            </w:r>
          </w:p>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営業用</w:t>
            </w:r>
          </w:p>
        </w:tc>
        <w:tc>
          <w:tcPr>
            <w:tcW w:w="5954" w:type="dxa"/>
            <w:gridSpan w:val="7"/>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非課税</w:t>
            </w:r>
          </w:p>
        </w:tc>
      </w:tr>
      <w:tr w:rsidR="00325A2C" w:rsidRPr="00BC3CCF" w:rsidTr="00BF083E">
        <w:trPr>
          <w:trHeight w:val="260"/>
        </w:trPr>
        <w:tc>
          <w:tcPr>
            <w:tcW w:w="2126" w:type="dxa"/>
            <w:vMerge w:val="restart"/>
            <w:vAlign w:val="center"/>
          </w:tcPr>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hint="eastAsia"/>
                <w:sz w:val="20"/>
                <w:szCs w:val="18"/>
              </w:rPr>
              <w:t>ガソリン車（ハイブリッド車を含む）</w:t>
            </w:r>
          </w:p>
        </w:tc>
        <w:tc>
          <w:tcPr>
            <w:tcW w:w="3398" w:type="dxa"/>
            <w:vMerge w:val="restart"/>
          </w:tcPr>
          <w:p w:rsidR="00325A2C" w:rsidRPr="00BC3CCF" w:rsidRDefault="00325A2C" w:rsidP="00BF083E">
            <w:pPr>
              <w:snapToGrid w:val="0"/>
              <w:spacing w:line="240" w:lineRule="atLeast"/>
              <w:jc w:val="right"/>
              <w:rPr>
                <w:rFonts w:ascii="ＭＳ 明朝" w:eastAsia="ＭＳ 明朝"/>
                <w:sz w:val="20"/>
                <w:szCs w:val="18"/>
              </w:rPr>
            </w:pPr>
            <w:r w:rsidRPr="00BC3CCF">
              <w:rPr>
                <w:rFonts w:ascii="ＭＳ 明朝" w:eastAsia="ＭＳ 明朝" w:hint="eastAsia"/>
                <w:sz w:val="20"/>
                <w:szCs w:val="18"/>
              </w:rPr>
              <w:t>燃費性能</w:t>
            </w:r>
          </w:p>
          <w:p w:rsidR="00325A2C" w:rsidRPr="00BC3CCF" w:rsidRDefault="00325A2C" w:rsidP="00BF083E">
            <w:pPr>
              <w:snapToGrid w:val="0"/>
              <w:spacing w:line="240" w:lineRule="atLeast"/>
              <w:jc w:val="right"/>
              <w:rPr>
                <w:rFonts w:ascii="ＭＳ 明朝" w:eastAsia="ＭＳ 明朝"/>
                <w:sz w:val="20"/>
                <w:szCs w:val="18"/>
              </w:rPr>
            </w:pPr>
          </w:p>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hint="eastAsia"/>
                <w:sz w:val="20"/>
                <w:szCs w:val="18"/>
              </w:rPr>
              <w:t>排出ガス性能</w:t>
            </w:r>
          </w:p>
        </w:tc>
        <w:tc>
          <w:tcPr>
            <w:tcW w:w="1275" w:type="dxa"/>
            <w:vMerge w:val="restart"/>
          </w:tcPr>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noProof/>
                <w:sz w:val="20"/>
                <w:szCs w:val="18"/>
              </w:rPr>
              <mc:AlternateContent>
                <mc:Choice Requires="wps">
                  <w:drawing>
                    <wp:anchor distT="0" distB="0" distL="114300" distR="114300" simplePos="0" relativeHeight="251659264" behindDoc="0" locked="0" layoutInCell="1" allowOverlap="1" wp14:anchorId="4526708F" wp14:editId="6EB90666">
                      <wp:simplePos x="0" y="0"/>
                      <wp:positionH relativeFrom="column">
                        <wp:posOffset>-2211704</wp:posOffset>
                      </wp:positionH>
                      <wp:positionV relativeFrom="paragraph">
                        <wp:posOffset>17146</wp:posOffset>
                      </wp:positionV>
                      <wp:extent cx="2133600" cy="495300"/>
                      <wp:effectExtent l="0" t="0" r="19050" b="19050"/>
                      <wp:wrapNone/>
                      <wp:docPr id="1" name="直線コネクタ 1"/>
                      <wp:cNvGraphicFramePr/>
                      <a:graphic xmlns:a="http://schemas.openxmlformats.org/drawingml/2006/main">
                        <a:graphicData uri="http://schemas.microsoft.com/office/word/2010/wordprocessingShape">
                          <wps:wsp>
                            <wps:cNvCnPr/>
                            <wps:spPr>
                              <a:xfrm>
                                <a:off x="0" y="0"/>
                                <a:ext cx="2133600" cy="49530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15884" id="直線コネクタ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15pt,1.35pt" to="-6.15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" strokecolor="black [3213]" strokeweight=".25pt">
                      <v:stroke joinstyle="miter"/>
                    </v:line>
                  </w:pict>
                </mc:Fallback>
              </mc:AlternateContent>
            </w:r>
          </w:p>
        </w:tc>
        <w:tc>
          <w:tcPr>
            <w:tcW w:w="3402" w:type="dxa"/>
            <w:gridSpan w:val="4"/>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平成27年度燃費基準</w:t>
            </w:r>
          </w:p>
        </w:tc>
        <w:tc>
          <w:tcPr>
            <w:tcW w:w="2552" w:type="dxa"/>
            <w:gridSpan w:val="3"/>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令和2年度燃費基準</w:t>
            </w:r>
          </w:p>
        </w:tc>
      </w:tr>
      <w:tr w:rsidR="00325A2C" w:rsidRPr="00BC3CCF" w:rsidTr="00BF083E">
        <w:trPr>
          <w:trHeight w:val="536"/>
        </w:trPr>
        <w:tc>
          <w:tcPr>
            <w:tcW w:w="2126" w:type="dxa"/>
            <w:vMerge/>
          </w:tcPr>
          <w:p w:rsidR="00325A2C" w:rsidRPr="00BC3CCF" w:rsidRDefault="00325A2C" w:rsidP="00BF083E">
            <w:pPr>
              <w:snapToGrid w:val="0"/>
              <w:spacing w:line="240" w:lineRule="atLeast"/>
              <w:rPr>
                <w:rFonts w:ascii="ＭＳ 明朝" w:eastAsia="ＭＳ 明朝"/>
                <w:sz w:val="20"/>
                <w:szCs w:val="18"/>
              </w:rPr>
            </w:pPr>
          </w:p>
        </w:tc>
        <w:tc>
          <w:tcPr>
            <w:tcW w:w="3398" w:type="dxa"/>
            <w:vMerge/>
          </w:tcPr>
          <w:p w:rsidR="00325A2C" w:rsidRPr="00BC3CCF" w:rsidRDefault="00325A2C" w:rsidP="00BF083E">
            <w:pPr>
              <w:snapToGrid w:val="0"/>
              <w:spacing w:line="240" w:lineRule="atLeast"/>
              <w:rPr>
                <w:rFonts w:ascii="ＭＳ 明朝" w:eastAsia="ＭＳ 明朝"/>
                <w:sz w:val="20"/>
                <w:szCs w:val="18"/>
              </w:rPr>
            </w:pPr>
          </w:p>
        </w:tc>
        <w:tc>
          <w:tcPr>
            <w:tcW w:w="1275" w:type="dxa"/>
            <w:vMerge/>
          </w:tcPr>
          <w:p w:rsidR="00325A2C" w:rsidRPr="00BC3CCF" w:rsidRDefault="00325A2C" w:rsidP="00BF083E">
            <w:pPr>
              <w:snapToGrid w:val="0"/>
              <w:spacing w:line="240" w:lineRule="atLeast"/>
              <w:rPr>
                <w:rFonts w:ascii="ＭＳ 明朝" w:eastAsia="ＭＳ 明朝"/>
                <w:sz w:val="20"/>
                <w:szCs w:val="18"/>
              </w:rPr>
            </w:pPr>
          </w:p>
        </w:tc>
        <w:tc>
          <w:tcPr>
            <w:tcW w:w="851"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未達成</w:t>
            </w:r>
          </w:p>
        </w:tc>
        <w:tc>
          <w:tcPr>
            <w:tcW w:w="850"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達成</w:t>
            </w:r>
          </w:p>
        </w:tc>
        <w:tc>
          <w:tcPr>
            <w:tcW w:w="851"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w:t>
            </w:r>
            <w:r w:rsidRPr="00BC3CCF">
              <w:rPr>
                <w:rFonts w:ascii="ＭＳ 明朝" w:eastAsia="ＭＳ 明朝"/>
                <w:sz w:val="20"/>
                <w:szCs w:val="18"/>
              </w:rPr>
              <w:t>5%</w:t>
            </w:r>
          </w:p>
        </w:tc>
        <w:tc>
          <w:tcPr>
            <w:tcW w:w="850"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w:t>
            </w:r>
            <w:r w:rsidRPr="00BC3CCF">
              <w:rPr>
                <w:rFonts w:ascii="ＭＳ 明朝" w:eastAsia="ＭＳ 明朝"/>
                <w:sz w:val="20"/>
                <w:szCs w:val="18"/>
              </w:rPr>
              <w:t>10%</w:t>
            </w:r>
            <w:r w:rsidRPr="00BC3CCF">
              <w:rPr>
                <w:rFonts w:ascii="ＭＳ 明朝" w:eastAsia="ＭＳ 明朝" w:hint="eastAsia"/>
                <w:sz w:val="20"/>
                <w:szCs w:val="18"/>
              </w:rPr>
              <w:t>～</w:t>
            </w:r>
          </w:p>
        </w:tc>
        <w:tc>
          <w:tcPr>
            <w:tcW w:w="851"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達成</w:t>
            </w:r>
          </w:p>
        </w:tc>
        <w:tc>
          <w:tcPr>
            <w:tcW w:w="850"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w:t>
            </w:r>
            <w:r w:rsidRPr="00BC3CCF">
              <w:rPr>
                <w:rFonts w:ascii="ＭＳ 明朝" w:eastAsia="ＭＳ 明朝"/>
                <w:sz w:val="20"/>
                <w:szCs w:val="18"/>
              </w:rPr>
              <w:t>10%</w:t>
            </w:r>
          </w:p>
        </w:tc>
        <w:tc>
          <w:tcPr>
            <w:tcW w:w="851"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w:t>
            </w:r>
            <w:r w:rsidRPr="00BC3CCF">
              <w:rPr>
                <w:rFonts w:ascii="ＭＳ 明朝" w:eastAsia="ＭＳ 明朝"/>
                <w:sz w:val="20"/>
                <w:szCs w:val="18"/>
              </w:rPr>
              <w:t>20%</w:t>
            </w:r>
            <w:r w:rsidRPr="00BC3CCF">
              <w:rPr>
                <w:rFonts w:ascii="ＭＳ 明朝" w:eastAsia="ＭＳ 明朝" w:hint="eastAsia"/>
                <w:sz w:val="20"/>
                <w:szCs w:val="18"/>
              </w:rPr>
              <w:t>～</w:t>
            </w:r>
          </w:p>
        </w:tc>
      </w:tr>
      <w:tr w:rsidR="00325A2C" w:rsidRPr="00BC3CCF" w:rsidTr="00BF083E">
        <w:trPr>
          <w:trHeight w:val="567"/>
        </w:trPr>
        <w:tc>
          <w:tcPr>
            <w:tcW w:w="2126" w:type="dxa"/>
            <w:vMerge/>
            <w:vAlign w:val="center"/>
          </w:tcPr>
          <w:p w:rsidR="00325A2C" w:rsidRPr="00BC3CCF" w:rsidRDefault="00325A2C" w:rsidP="00BF083E">
            <w:pPr>
              <w:snapToGrid w:val="0"/>
              <w:spacing w:line="240" w:lineRule="atLeast"/>
              <w:rPr>
                <w:rFonts w:ascii="ＭＳ 明朝" w:eastAsia="ＭＳ 明朝"/>
                <w:sz w:val="20"/>
                <w:szCs w:val="18"/>
              </w:rPr>
            </w:pPr>
          </w:p>
        </w:tc>
        <w:tc>
          <w:tcPr>
            <w:tcW w:w="3398" w:type="dxa"/>
            <w:vMerge w:val="restart"/>
            <w:vAlign w:val="center"/>
          </w:tcPr>
          <w:p w:rsidR="00325A2C" w:rsidRPr="00BC3CCF" w:rsidRDefault="00325A2C" w:rsidP="00BF083E">
            <w:pPr>
              <w:snapToGrid w:val="0"/>
              <w:spacing w:line="240" w:lineRule="atLeast"/>
              <w:rPr>
                <w:rFonts w:ascii="ＭＳ 明朝" w:eastAsia="ＭＳ 明朝"/>
                <w:sz w:val="20"/>
                <w:szCs w:val="18"/>
              </w:rPr>
            </w:pPr>
            <w:r w:rsidRPr="00BC3CCF">
              <w:rPr>
                <w:rFonts w:ascii="ＭＳ 明朝" w:eastAsia="ＭＳ 明朝" w:hint="eastAsia"/>
                <w:sz w:val="20"/>
                <w:szCs w:val="18"/>
              </w:rPr>
              <w:t>平成17年排出ガス規制7</w:t>
            </w:r>
            <w:r w:rsidRPr="00BC3CCF">
              <w:rPr>
                <w:rFonts w:ascii="ＭＳ 明朝" w:eastAsia="ＭＳ 明朝"/>
                <w:sz w:val="20"/>
                <w:szCs w:val="18"/>
              </w:rPr>
              <w:t>5%</w:t>
            </w:r>
            <w:bookmarkStart w:id="0" w:name="_GoBack"/>
            <w:bookmarkEnd w:id="0"/>
            <w:r w:rsidRPr="00BC3CCF">
              <w:rPr>
                <w:rFonts w:ascii="ＭＳ 明朝" w:eastAsia="ＭＳ 明朝" w:hint="eastAsia"/>
                <w:sz w:val="20"/>
                <w:szCs w:val="18"/>
              </w:rPr>
              <w:t>低減又は平成3</w:t>
            </w:r>
            <w:r w:rsidRPr="00BC3CCF">
              <w:rPr>
                <w:rFonts w:ascii="ＭＳ 明朝" w:eastAsia="ＭＳ 明朝"/>
                <w:sz w:val="20"/>
                <w:szCs w:val="18"/>
              </w:rPr>
              <w:t>0</w:t>
            </w:r>
            <w:r w:rsidRPr="00BC3CCF">
              <w:rPr>
                <w:rFonts w:ascii="ＭＳ 明朝" w:eastAsia="ＭＳ 明朝" w:hint="eastAsia"/>
                <w:sz w:val="20"/>
                <w:szCs w:val="18"/>
              </w:rPr>
              <w:t>年排出ガス規制</w:t>
            </w:r>
            <w:r w:rsidRPr="00BC3CCF">
              <w:rPr>
                <w:rFonts w:ascii="ＭＳ 明朝" w:eastAsia="ＭＳ 明朝"/>
                <w:sz w:val="20"/>
                <w:szCs w:val="18"/>
              </w:rPr>
              <w:t>50%</w:t>
            </w:r>
            <w:r w:rsidRPr="00BC3CCF">
              <w:rPr>
                <w:rFonts w:ascii="ＭＳ 明朝" w:eastAsia="ＭＳ 明朝" w:hint="eastAsia"/>
                <w:sz w:val="20"/>
                <w:szCs w:val="18"/>
              </w:rPr>
              <w:t>低減</w:t>
            </w:r>
          </w:p>
        </w:tc>
        <w:tc>
          <w:tcPr>
            <w:tcW w:w="1275"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自家用</w:t>
            </w:r>
          </w:p>
        </w:tc>
        <w:tc>
          <w:tcPr>
            <w:tcW w:w="3402" w:type="dxa"/>
            <w:gridSpan w:val="4"/>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2％</w:t>
            </w:r>
          </w:p>
        </w:tc>
        <w:tc>
          <w:tcPr>
            <w:tcW w:w="851"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1％</w:t>
            </w:r>
          </w:p>
        </w:tc>
        <w:tc>
          <w:tcPr>
            <w:tcW w:w="1701" w:type="dxa"/>
            <w:gridSpan w:val="2"/>
            <w:vMerge w:val="restart"/>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非課税</w:t>
            </w:r>
          </w:p>
        </w:tc>
      </w:tr>
      <w:tr w:rsidR="00325A2C" w:rsidRPr="00BC3CCF" w:rsidTr="00BF083E">
        <w:trPr>
          <w:trHeight w:val="565"/>
        </w:trPr>
        <w:tc>
          <w:tcPr>
            <w:tcW w:w="2126" w:type="dxa"/>
            <w:vMerge/>
          </w:tcPr>
          <w:p w:rsidR="00325A2C" w:rsidRPr="00BC3CCF" w:rsidRDefault="00325A2C" w:rsidP="00BF083E">
            <w:pPr>
              <w:snapToGrid w:val="0"/>
              <w:spacing w:line="240" w:lineRule="atLeast"/>
              <w:rPr>
                <w:rFonts w:ascii="ＭＳ 明朝" w:eastAsia="ＭＳ 明朝"/>
                <w:sz w:val="20"/>
                <w:szCs w:val="18"/>
              </w:rPr>
            </w:pPr>
          </w:p>
        </w:tc>
        <w:tc>
          <w:tcPr>
            <w:tcW w:w="3398" w:type="dxa"/>
            <w:vMerge/>
          </w:tcPr>
          <w:p w:rsidR="00325A2C" w:rsidRPr="00BC3CCF" w:rsidRDefault="00325A2C" w:rsidP="00BF083E">
            <w:pPr>
              <w:snapToGrid w:val="0"/>
              <w:spacing w:line="240" w:lineRule="atLeast"/>
              <w:rPr>
                <w:rFonts w:ascii="ＭＳ 明朝" w:eastAsia="ＭＳ 明朝"/>
                <w:sz w:val="20"/>
                <w:szCs w:val="18"/>
              </w:rPr>
            </w:pPr>
          </w:p>
        </w:tc>
        <w:tc>
          <w:tcPr>
            <w:tcW w:w="1275"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営業用</w:t>
            </w:r>
          </w:p>
        </w:tc>
        <w:tc>
          <w:tcPr>
            <w:tcW w:w="2552" w:type="dxa"/>
            <w:gridSpan w:val="3"/>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2％</w:t>
            </w:r>
          </w:p>
        </w:tc>
        <w:tc>
          <w:tcPr>
            <w:tcW w:w="850"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1％</w:t>
            </w:r>
          </w:p>
        </w:tc>
        <w:tc>
          <w:tcPr>
            <w:tcW w:w="851" w:type="dxa"/>
            <w:vAlign w:val="center"/>
          </w:tcPr>
          <w:p w:rsidR="00325A2C" w:rsidRPr="00BC3CCF" w:rsidRDefault="00325A2C" w:rsidP="00BF083E">
            <w:pPr>
              <w:snapToGrid w:val="0"/>
              <w:spacing w:line="240" w:lineRule="atLeast"/>
              <w:jc w:val="center"/>
              <w:rPr>
                <w:rFonts w:ascii="ＭＳ 明朝" w:eastAsia="ＭＳ 明朝"/>
                <w:sz w:val="20"/>
                <w:szCs w:val="18"/>
              </w:rPr>
            </w:pPr>
            <w:r w:rsidRPr="00BC3CCF">
              <w:rPr>
                <w:rFonts w:ascii="ＭＳ 明朝" w:eastAsia="ＭＳ 明朝" w:hint="eastAsia"/>
                <w:sz w:val="20"/>
                <w:szCs w:val="18"/>
              </w:rPr>
              <w:t>0.5％</w:t>
            </w:r>
          </w:p>
        </w:tc>
        <w:tc>
          <w:tcPr>
            <w:tcW w:w="1701" w:type="dxa"/>
            <w:gridSpan w:val="2"/>
            <w:vMerge/>
            <w:vAlign w:val="center"/>
          </w:tcPr>
          <w:p w:rsidR="00325A2C" w:rsidRPr="00BC3CCF" w:rsidRDefault="00325A2C" w:rsidP="00BF083E">
            <w:pPr>
              <w:snapToGrid w:val="0"/>
              <w:spacing w:line="240" w:lineRule="atLeast"/>
              <w:jc w:val="center"/>
              <w:rPr>
                <w:rFonts w:ascii="ＭＳ 明朝" w:eastAsia="ＭＳ 明朝"/>
                <w:sz w:val="20"/>
                <w:szCs w:val="18"/>
              </w:rPr>
            </w:pPr>
          </w:p>
        </w:tc>
      </w:tr>
    </w:tbl>
    <w:p w:rsidR="00BF083E" w:rsidRPr="00BF083E" w:rsidRDefault="00BF083E" w:rsidP="00325A2C">
      <w:pPr>
        <w:rPr>
          <w:rFonts w:ascii="ＭＳ 明朝" w:eastAsia="ＭＳ 明朝" w:hint="eastAsia"/>
          <w:color w:val="FF0000"/>
          <w:sz w:val="20"/>
          <w:szCs w:val="18"/>
        </w:rPr>
      </w:pPr>
      <w:r>
        <w:rPr>
          <w:rFonts w:ascii="ＭＳ 明朝" w:eastAsia="ＭＳ 明朝" w:hint="eastAsia"/>
          <w:color w:val="FF0000"/>
          <w:sz w:val="20"/>
          <w:szCs w:val="18"/>
        </w:rPr>
        <w:t>新型コロナウイルス感染症緊急経済対策における税制上の措置として、軽減措置が令和3年3月31日まで延長することとなりました。</w:t>
      </w:r>
    </w:p>
    <w:p w:rsidR="00BF083E" w:rsidRDefault="00BF083E" w:rsidP="00325A2C">
      <w:pPr>
        <w:rPr>
          <w:rFonts w:ascii="ＭＳ 明朝" w:eastAsia="ＭＳ 明朝"/>
          <w:sz w:val="20"/>
          <w:szCs w:val="18"/>
        </w:rPr>
      </w:pPr>
    </w:p>
    <w:p w:rsidR="00BF083E" w:rsidRDefault="00BF083E" w:rsidP="00325A2C">
      <w:pPr>
        <w:rPr>
          <w:rFonts w:ascii="ＭＳ 明朝" w:eastAsia="ＭＳ 明朝"/>
          <w:sz w:val="20"/>
          <w:szCs w:val="18"/>
        </w:rPr>
      </w:pPr>
    </w:p>
    <w:p w:rsidR="00A55355" w:rsidRDefault="00325A2C" w:rsidP="00325A2C">
      <w:pPr>
        <w:rPr>
          <w:rFonts w:ascii="ＭＳ 明朝" w:eastAsia="ＭＳ 明朝"/>
          <w:sz w:val="20"/>
          <w:szCs w:val="18"/>
        </w:rPr>
      </w:pPr>
      <w:r>
        <w:rPr>
          <w:rFonts w:ascii="ＭＳ 明朝" w:eastAsia="ＭＳ 明朝" w:hint="eastAsia"/>
          <w:sz w:val="20"/>
          <w:szCs w:val="18"/>
        </w:rPr>
        <w:t>※上記の要件に該当しない車両については、自家用は3％、営業用は2％の税率が適用</w:t>
      </w:r>
    </w:p>
    <w:p w:rsidR="00325A2C" w:rsidRDefault="00325A2C" w:rsidP="00325A2C">
      <w:pPr>
        <w:rPr>
          <w:rFonts w:ascii="ＭＳ 明朝" w:eastAsia="ＭＳ 明朝"/>
          <w:sz w:val="20"/>
          <w:szCs w:val="18"/>
        </w:rPr>
      </w:pPr>
      <w:r>
        <w:rPr>
          <w:rFonts w:ascii="ＭＳ 明朝" w:eastAsia="ＭＳ 明朝" w:hint="eastAsia"/>
          <w:sz w:val="20"/>
          <w:szCs w:val="18"/>
        </w:rPr>
        <w:t>※令和元年10月1日から</w:t>
      </w:r>
      <w:r w:rsidRPr="00DA1EEE">
        <w:rPr>
          <w:rFonts w:ascii="ＭＳ 明朝" w:eastAsia="ＭＳ 明朝" w:hint="eastAsia"/>
          <w:strike/>
          <w:color w:val="FF0000"/>
          <w:sz w:val="20"/>
          <w:szCs w:val="18"/>
        </w:rPr>
        <w:t>令和2年9月30日</w:t>
      </w:r>
      <w:r w:rsidR="00BF083E">
        <w:rPr>
          <w:rFonts w:ascii="ＭＳ 明朝" w:eastAsia="ＭＳ 明朝" w:hint="eastAsia"/>
          <w:sz w:val="20"/>
          <w:szCs w:val="18"/>
        </w:rPr>
        <w:t>令和3年3月31日</w:t>
      </w:r>
      <w:r>
        <w:rPr>
          <w:rFonts w:ascii="ＭＳ 明朝" w:eastAsia="ＭＳ 明朝" w:hint="eastAsia"/>
          <w:sz w:val="20"/>
          <w:szCs w:val="18"/>
        </w:rPr>
        <w:t>までの間に取得した車両については、税率を1％軽減する</w:t>
      </w:r>
    </w:p>
    <w:p w:rsidR="00325A2C" w:rsidRPr="005348C1" w:rsidRDefault="00325A2C" w:rsidP="00325A2C">
      <w:pPr>
        <w:rPr>
          <w:rFonts w:ascii="ＭＳ 明朝" w:eastAsia="ＭＳ 明朝"/>
          <w:sz w:val="20"/>
          <w:szCs w:val="18"/>
        </w:rPr>
      </w:pPr>
    </w:p>
    <w:p w:rsidR="00325A2C" w:rsidRPr="00BC3CCF" w:rsidRDefault="00325A2C" w:rsidP="00325A2C">
      <w:pPr>
        <w:rPr>
          <w:rFonts w:ascii="ＭＳ 明朝" w:eastAsia="ＭＳ 明朝"/>
          <w:sz w:val="20"/>
          <w:szCs w:val="18"/>
        </w:rPr>
      </w:pPr>
    </w:p>
    <w:sectPr w:rsidR="00325A2C" w:rsidRPr="00BC3CCF" w:rsidSect="00BC3CCF">
      <w:pgSz w:w="16838" w:h="11906" w:orient="landscape"/>
      <w:pgMar w:top="1701" w:right="1985"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0A1"/>
    <w:rsid w:val="000500A1"/>
    <w:rsid w:val="00161CFA"/>
    <w:rsid w:val="001C2B89"/>
    <w:rsid w:val="002B1322"/>
    <w:rsid w:val="00325A2C"/>
    <w:rsid w:val="005262B4"/>
    <w:rsid w:val="005348C1"/>
    <w:rsid w:val="00761C4D"/>
    <w:rsid w:val="00BC3CCF"/>
    <w:rsid w:val="00BF083E"/>
    <w:rsid w:val="00DA1E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C45048"/>
  <w15:chartTrackingRefBased/>
  <w15:docId w15:val="{7B531041-713A-4930-BA27-840BD85AD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500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